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kern w:val="0"/>
          <w:sz w:val="21"/>
          <w:szCs w:val="21"/>
          <w:lang w:val="en-US" w:eastAsia="zh-CN"/>
        </w:rPr>
        <w:t>附件10</w:t>
      </w:r>
    </w:p>
    <w:p>
      <w:pPr>
        <w:keepNext w:val="0"/>
        <w:keepLines w:val="0"/>
        <w:pageBreakBefore w:val="0"/>
        <w:widowControl w:val="0"/>
        <w:tabs>
          <w:tab w:val="left" w:pos="106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360" w:lineRule="auto"/>
        <w:jc w:val="center"/>
        <w:textAlignment w:val="auto"/>
        <w:rPr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安全性信息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报告表（SAE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/SUSAR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）</w:t>
      </w:r>
    </w:p>
    <w:tbl>
      <w:tblPr>
        <w:tblStyle w:val="4"/>
        <w:tblW w:w="9947" w:type="dxa"/>
        <w:tblInd w:w="-6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556"/>
        <w:gridCol w:w="1170"/>
        <w:gridCol w:w="765"/>
        <w:gridCol w:w="1785"/>
        <w:gridCol w:w="345"/>
        <w:gridCol w:w="975"/>
        <w:gridCol w:w="993"/>
        <w:gridCol w:w="1032"/>
        <w:gridCol w:w="690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35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临床试验批件号</w:t>
            </w:r>
          </w:p>
        </w:tc>
        <w:tc>
          <w:tcPr>
            <w:tcW w:w="7456" w:type="dxa"/>
            <w:gridSpan w:val="7"/>
          </w:tcPr>
          <w:p>
            <w:pPr>
              <w:widowControl/>
              <w:spacing w:before="100" w:after="100"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90" w:hRule="atLeast"/>
        </w:trPr>
        <w:tc>
          <w:tcPr>
            <w:tcW w:w="2491" w:type="dxa"/>
            <w:gridSpan w:val="3"/>
            <w:vAlign w:val="center"/>
          </w:tcPr>
          <w:p>
            <w:pPr>
              <w:widowControl/>
              <w:spacing w:before="100" w:after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报告类型</w:t>
            </w:r>
          </w:p>
        </w:tc>
        <w:tc>
          <w:tcPr>
            <w:tcW w:w="40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color w:val="000000"/>
                <w:kern w:val="0"/>
                <w:sz w:val="24"/>
              </w:rPr>
              <w:t>首次报告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color w:val="000000"/>
                <w:kern w:val="0"/>
                <w:sz w:val="24"/>
              </w:rPr>
              <w:t>随访报告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color w:val="000000"/>
                <w:kern w:val="0"/>
                <w:sz w:val="24"/>
              </w:rPr>
              <w:t>总结报告</w:t>
            </w:r>
          </w:p>
        </w:tc>
        <w:tc>
          <w:tcPr>
            <w:tcW w:w="3358" w:type="dxa"/>
            <w:gridSpan w:val="3"/>
          </w:tcPr>
          <w:p>
            <w:pPr>
              <w:widowControl/>
              <w:spacing w:before="100" w:after="100" w:line="360" w:lineRule="auto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报告时间：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   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 年 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 xml:space="preserve">  月   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0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医疗机构及专业名称</w:t>
            </w:r>
          </w:p>
        </w:tc>
        <w:tc>
          <w:tcPr>
            <w:tcW w:w="4098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</w:p>
        </w:tc>
        <w:tc>
          <w:tcPr>
            <w:tcW w:w="335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color w:val="000000"/>
                <w:kern w:val="0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60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4098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FF"/>
                <w:kern w:val="0"/>
                <w:sz w:val="24"/>
              </w:rPr>
            </w:pPr>
          </w:p>
        </w:tc>
        <w:tc>
          <w:tcPr>
            <w:tcW w:w="335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2491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试验用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药品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医疗器械名称</w:t>
            </w: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中文名称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（全名）</w:t>
            </w:r>
            <w:r>
              <w:rPr>
                <w:color w:val="000000"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421" w:hRule="atLeast"/>
        </w:trPr>
        <w:tc>
          <w:tcPr>
            <w:tcW w:w="2491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  <w:lang w:val="en-GB"/>
              </w:rPr>
            </w:pPr>
            <w:r>
              <w:rPr>
                <w:color w:val="000000"/>
                <w:kern w:val="0"/>
                <w:sz w:val="24"/>
              </w:rPr>
              <w:t>英文名称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（全名）</w:t>
            </w:r>
            <w:r>
              <w:rPr>
                <w:color w:val="000000"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药品注册分类及剂型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医疗器械分类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药品分类：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中药；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化学药；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治疗用生物制品；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预防用生物制品；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其他：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 xml:space="preserve"> 注册分类：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剂型：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器械</w:t>
            </w:r>
            <w:r>
              <w:rPr>
                <w:color w:val="000000"/>
                <w:kern w:val="0"/>
                <w:sz w:val="24"/>
              </w:rPr>
              <w:t>分类：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一</w:t>
            </w:r>
            <w:r>
              <w:rPr>
                <w:rFonts w:hint="eastAsia"/>
                <w:color w:val="000000"/>
                <w:kern w:val="0"/>
                <w:sz w:val="24"/>
              </w:rPr>
              <w:t>类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二</w:t>
            </w:r>
            <w:r>
              <w:rPr>
                <w:rFonts w:hint="eastAsia"/>
                <w:color w:val="000000"/>
                <w:kern w:val="0"/>
                <w:sz w:val="24"/>
              </w:rPr>
              <w:t>类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三</w:t>
            </w:r>
            <w:r>
              <w:rPr>
                <w:rFonts w:hint="eastAsia"/>
                <w:color w:val="000000"/>
                <w:kern w:val="0"/>
                <w:sz w:val="24"/>
              </w:rPr>
              <w:t>类</w:t>
            </w:r>
            <w:r>
              <w:rPr>
                <w:color w:val="000000"/>
                <w:kern w:val="0"/>
                <w:sz w:val="24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型号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color w:val="000000"/>
                <w:kern w:val="0"/>
                <w:sz w:val="24"/>
                <w:u w:val="single"/>
              </w:rPr>
              <w:t xml:space="preserve">                 </w:t>
            </w:r>
            <w:r>
              <w:rPr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hint="eastAsia"/>
                <w:color w:val="000000"/>
                <w:kern w:val="0"/>
                <w:sz w:val="24"/>
              </w:rPr>
              <w:t>规格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color w:val="000000"/>
                <w:kern w:val="0"/>
                <w:sz w:val="24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临床研究分类</w:t>
            </w:r>
          </w:p>
        </w:tc>
        <w:tc>
          <w:tcPr>
            <w:tcW w:w="40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□Ⅰ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Ⅱ期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Ⅲ期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Ⅳ期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生物等效性试验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□临床验证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 □临床试用</w:t>
            </w:r>
          </w:p>
        </w:tc>
        <w:tc>
          <w:tcPr>
            <w:tcW w:w="33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临床试验适应症：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5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受试者基本情况</w:t>
            </w:r>
          </w:p>
        </w:tc>
        <w:tc>
          <w:tcPr>
            <w:tcW w:w="193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受试者拼音缩写：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</w:p>
        </w:tc>
        <w:tc>
          <w:tcPr>
            <w:tcW w:w="178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出生日期:</w:t>
            </w:r>
          </w:p>
        </w:tc>
        <w:tc>
          <w:tcPr>
            <w:tcW w:w="2313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性别: □男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□女</w:t>
            </w:r>
          </w:p>
        </w:tc>
        <w:tc>
          <w:tcPr>
            <w:tcW w:w="1722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身高(cm)：</w:t>
            </w:r>
          </w:p>
        </w:tc>
        <w:tc>
          <w:tcPr>
            <w:tcW w:w="16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体重(Kg)：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390" w:hRule="atLeast"/>
        </w:trPr>
        <w:tc>
          <w:tcPr>
            <w:tcW w:w="556" w:type="dxa"/>
            <w:vMerge w:val="continue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391" w:type="dxa"/>
            <w:gridSpan w:val="9"/>
          </w:tcPr>
          <w:p>
            <w:pPr>
              <w:widowControl/>
              <w:spacing w:before="100" w:after="100"/>
              <w:jc w:val="lef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合并疾病及治疗：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color w:val="000000"/>
                <w:kern w:val="0"/>
                <w:sz w:val="24"/>
              </w:rPr>
              <w:t xml:space="preserve">有   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□</w:t>
            </w:r>
            <w:r>
              <w:rPr>
                <w:color w:val="000000"/>
                <w:kern w:val="0"/>
                <w:sz w:val="24"/>
              </w:rPr>
              <w:t>无</w:t>
            </w:r>
          </w:p>
          <w:p>
            <w:pPr>
              <w:widowControl/>
              <w:spacing w:before="100" w:after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1. 疾病：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 治疗药物：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用法用量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widowControl/>
              <w:spacing w:before="100" w:after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 疾病：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 治疗药物：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用法用量：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widowControl/>
              <w:spacing w:before="100" w:after="100"/>
              <w:jc w:val="left"/>
              <w:rPr>
                <w:rFonts w:hint="default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3. 疾病：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治疗药物：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用法用量：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SAE</w:t>
            </w:r>
            <w:r>
              <w:rPr>
                <w:color w:val="000000"/>
                <w:kern w:val="0"/>
                <w:sz w:val="24"/>
              </w:rPr>
              <w:t>的医学术语(</w:t>
            </w:r>
            <w:r>
              <w:rPr>
                <w:rFonts w:hint="eastAsia"/>
                <w:color w:val="000000"/>
                <w:kern w:val="0"/>
                <w:sz w:val="24"/>
                <w:lang w:eastAsia="zh-CN"/>
              </w:rPr>
              <w:t>诊</w:t>
            </w:r>
            <w:r>
              <w:rPr>
                <w:color w:val="000000"/>
                <w:kern w:val="0"/>
                <w:sz w:val="24"/>
              </w:rPr>
              <w:t>断)</w:t>
            </w:r>
          </w:p>
        </w:tc>
        <w:tc>
          <w:tcPr>
            <w:tcW w:w="7456" w:type="dxa"/>
            <w:gridSpan w:val="7"/>
          </w:tcPr>
          <w:p>
            <w:pPr>
              <w:widowControl/>
              <w:spacing w:before="100" w:after="100"/>
              <w:jc w:val="left"/>
              <w:rPr>
                <w:color w:val="0000FF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SAE是否预期</w:t>
            </w:r>
          </w:p>
        </w:tc>
        <w:tc>
          <w:tcPr>
            <w:tcW w:w="7456" w:type="dxa"/>
            <w:gridSpan w:val="7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否，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是（已在临床试验方案/知情同意书中说明）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15" w:hRule="atLeast"/>
        </w:trPr>
        <w:tc>
          <w:tcPr>
            <w:tcW w:w="2491" w:type="dxa"/>
            <w:gridSpan w:val="3"/>
            <w:vAlign w:val="center"/>
          </w:tcPr>
          <w:p>
            <w:pPr>
              <w:widowControl/>
              <w:spacing w:before="100" w:after="10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SAE</w:t>
            </w: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□死亡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□导致住院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□延长住院时间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□伤残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□导致先天畸形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□危及生命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□功能障碍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□其它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  <w:t>重要医学事件：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cantSplit/>
          <w:trHeight w:val="548" w:hRule="atLeast"/>
        </w:trPr>
        <w:tc>
          <w:tcPr>
            <w:tcW w:w="462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SAE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发生时间：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年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月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53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研究者获知SAE时间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年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月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color w:val="0000FF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采取的措施</w:t>
            </w: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药品：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继续用药；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减小剂量；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药物暂停后又恢复；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停用药物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257175</wp:posOffset>
                      </wp:positionV>
                      <wp:extent cx="1533525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770505" y="2876550"/>
                                <a:ext cx="15335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2.75pt;margin-top:20.25pt;height:0pt;width:120.75pt;z-index:251661312;mso-width-relative:page;mso-height-relative:page;" filled="f" stroked="t" coordsize="21600,21600" o:gfxdata="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swCCHVAAAACAEAAA8AAAAAAAAAAQAgAAAAIgAAAGRycy9kb3ducmV2LnhtbFBLAQIUABQAAAAI&#10;AIdO4kDgy7iy8AEAAL0DAAAOAAAAAAAAAAEAIAAAACQBAABkcnMvZTJvRG9jLnhtbFBLBQYAAAAA&#10;BgAGAFkBAACG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其他：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医疗器械：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□继续使用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□暂停后又恢复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□停用器械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257810</wp:posOffset>
                      </wp:positionV>
                      <wp:extent cx="1571625" cy="0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884805" y="3409950"/>
                                <a:ext cx="1571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2.75pt;margin-top:20.3pt;height:0pt;width:123.75pt;z-index:251662336;mso-width-relative:page;mso-height-relative:page;" filled="f" stroked="t" coordsize="21600,21600" o:gfxdata="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vOBug9YAAAAIAQAADwAAAAAAAAABACAAAAAiAAAAZHJzL2Rvd25yZXYueG1sUEsBAhQAFAAA&#10;AAgAh07iQFdLVu/xAQAAvQMAAA4AAAAAAAAAAQAgAAAAJQEAAGRycy9lMm9Eb2MueG1sUEsFBgAA&#10;AAAGAAYAWQEAAIg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□其他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SAE转归</w:t>
            </w: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□症状消失（后遗症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□无）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□症状持续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症状恶化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死亡，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val="en-US" w:eastAsia="zh-CN"/>
              </w:rPr>
              <w:t>尸检：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否；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eastAsia="zh-CN"/>
              </w:rPr>
              <w:t>是（请附尸检报告）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SAE与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eastAsia="zh-CN"/>
              </w:rPr>
              <w:t>药品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试验医疗器械的关系</w:t>
            </w:r>
          </w:p>
        </w:tc>
        <w:tc>
          <w:tcPr>
            <w:tcW w:w="745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□肯定有关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 □可能有关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□可能无关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□肯定无关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□无法判定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390" w:hRule="atLeast"/>
        </w:trPr>
        <w:tc>
          <w:tcPr>
            <w:tcW w:w="24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SAE报道情况</w:t>
            </w:r>
          </w:p>
        </w:tc>
        <w:tc>
          <w:tcPr>
            <w:tcW w:w="7456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国内：□有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□不详；     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 xml:space="preserve"> 国外：□有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□不详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2015" w:hRule="atLeast"/>
        </w:trPr>
        <w:tc>
          <w:tcPr>
            <w:tcW w:w="9947" w:type="dxa"/>
            <w:gridSpan w:val="10"/>
          </w:tcPr>
          <w:p>
            <w:pPr>
              <w:widowControl/>
              <w:spacing w:before="100" w:after="100"/>
              <w:jc w:val="left"/>
              <w:rPr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</w:rPr>
              <w:t>SAE</w:t>
            </w:r>
            <w:r>
              <w:rPr>
                <w:color w:val="000000"/>
                <w:kern w:val="0"/>
                <w:sz w:val="24"/>
              </w:rPr>
              <w:t>发生及处理的详细情况：</w:t>
            </w:r>
            <w:r>
              <w:rPr>
                <w:color w:val="0000FF"/>
                <w:kern w:val="0"/>
                <w:sz w:val="21"/>
                <w:szCs w:val="21"/>
              </w:rPr>
              <w:t>（参考模板）</w:t>
            </w:r>
          </w:p>
          <w:p>
            <w:pPr>
              <w:widowControl/>
              <w:spacing w:before="100" w:after="100"/>
              <w:ind w:firstLine="735" w:firstLineChars="35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color w:val="0000FF"/>
                <w:kern w:val="0"/>
                <w:sz w:val="21"/>
                <w:szCs w:val="21"/>
              </w:rPr>
              <w:t>“首次报告”应包含但不限于以下信息，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color w:val="0000FF"/>
                <w:kern w:val="0"/>
                <w:sz w:val="21"/>
                <w:szCs w:val="21"/>
              </w:rPr>
              <w:t>患者入组编号，入组时间和入组临床试验名称（编号），患者诊断和既往重要病史或合并疾病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color w:val="0000FF"/>
                <w:kern w:val="0"/>
                <w:sz w:val="21"/>
                <w:szCs w:val="21"/>
              </w:rPr>
              <w:t>入组后已完成的疗程和发生SAE前的末次用药时间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color w:val="0000FF"/>
                <w:kern w:val="0"/>
                <w:sz w:val="21"/>
                <w:szCs w:val="21"/>
              </w:rPr>
              <w:t>发生SAE前的相关症状、体征、程度分级，行相关检查和治疗的情况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color w:val="0000FF"/>
                <w:kern w:val="0"/>
                <w:sz w:val="21"/>
                <w:szCs w:val="21"/>
              </w:rPr>
              <w:t>确认为SAE后的详细救治过程，有助于证实SAE严重性的检查结果等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rFonts w:hint="default" w:eastAsiaTheme="minorEastAsia"/>
                <w:color w:val="0000FF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color w:val="0000FF"/>
                <w:kern w:val="0"/>
                <w:sz w:val="21"/>
                <w:szCs w:val="21"/>
              </w:rPr>
              <w:t>研究者判断该SAE与试验用药或方法的相关性</w:t>
            </w:r>
            <w:r>
              <w:rPr>
                <w:rFonts w:hint="eastAsia"/>
                <w:color w:val="0000FF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6.其他</w:t>
            </w:r>
          </w:p>
          <w:p>
            <w:pPr>
              <w:widowControl/>
              <w:spacing w:before="100" w:after="100"/>
              <w:ind w:firstLine="840" w:firstLineChars="40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color w:val="0000FF"/>
                <w:kern w:val="0"/>
                <w:sz w:val="21"/>
                <w:szCs w:val="21"/>
              </w:rPr>
              <w:t>“随访/总结报告”应包含但不限于以下信息，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color w:val="0000FF"/>
                <w:kern w:val="0"/>
                <w:sz w:val="21"/>
                <w:szCs w:val="21"/>
              </w:rPr>
              <w:t>患者入组编号，入组时间和入组临床试验名称（编号），患者诊断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color w:val="0000FF"/>
                <w:kern w:val="0"/>
                <w:sz w:val="21"/>
                <w:szCs w:val="21"/>
              </w:rPr>
              <w:t>自首次报告后，该SAE发生的转归、治疗及相关检查情况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color w:val="0000FF"/>
                <w:kern w:val="0"/>
                <w:sz w:val="21"/>
                <w:szCs w:val="21"/>
              </w:rPr>
              <w:t>再次评价该SAE与试验用药或方法相关性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1"/>
                <w:szCs w:val="21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color w:val="0000FF"/>
                <w:kern w:val="0"/>
                <w:sz w:val="21"/>
                <w:szCs w:val="21"/>
              </w:rPr>
              <w:t>明确是否恢复试验治疗或退出试验</w:t>
            </w:r>
          </w:p>
          <w:p>
            <w:pPr>
              <w:widowControl/>
              <w:numPr>
                <w:ilvl w:val="0"/>
                <w:numId w:val="0"/>
              </w:numPr>
              <w:spacing w:before="100" w:after="100"/>
              <w:ind w:left="420" w:leftChars="0"/>
              <w:jc w:val="left"/>
              <w:rPr>
                <w:color w:val="0000FF"/>
                <w:kern w:val="0"/>
                <w:sz w:val="24"/>
              </w:rPr>
            </w:pPr>
            <w:r>
              <w:rPr>
                <w:rFonts w:hint="eastAsia"/>
                <w:color w:val="0000FF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color w:val="0000FF"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45" w:hRule="atLeast"/>
        </w:trPr>
        <w:tc>
          <w:tcPr>
            <w:tcW w:w="1726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  <w:lang w:eastAsia="zh-CN"/>
              </w:rPr>
              <w:t>报告单位名称</w:t>
            </w:r>
          </w:p>
        </w:tc>
        <w:tc>
          <w:tcPr>
            <w:tcW w:w="3870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2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报告人职务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/职称</w:t>
            </w:r>
          </w:p>
        </w:tc>
        <w:tc>
          <w:tcPr>
            <w:tcW w:w="2326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545" w:hRule="atLeast"/>
        </w:trPr>
        <w:tc>
          <w:tcPr>
            <w:tcW w:w="1726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5"/>
                <w:sz w:val="24"/>
                <w:szCs w:val="24"/>
              </w:rPr>
              <w:t>报告人签字</w:t>
            </w:r>
          </w:p>
        </w:tc>
        <w:tc>
          <w:tcPr>
            <w:tcW w:w="3870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025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本次报告日期</w:t>
            </w:r>
          </w:p>
        </w:tc>
        <w:tc>
          <w:tcPr>
            <w:tcW w:w="2326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9525</wp:posOffset>
              </wp:positionH>
              <wp:positionV relativeFrom="paragraph">
                <wp:posOffset>-66675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Arial" w:hAnsi="Arial" w:cs="Arial" w:eastAsiaTheme="minorEastAsia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页，共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.75pt;margin-top:-5.2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D3RztUAAAAJAQAADwAAAAAAAAABACAAAAAiAAAAZHJzL2Rvd25yZXYueG1sUEsB&#10;AhQAFAAAAAgAh07iQDCJEl4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Arial" w:hAnsi="Arial" w:cs="Arial" w:eastAsiaTheme="minorEastAsia"/>
                        <w:b/>
                        <w:bCs/>
                        <w:lang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第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页，共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2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宋体" w:hAnsi="宋体"/>
              <w:sz w:val="24"/>
              <w:szCs w:val="24"/>
            </w:rPr>
            <w:t>·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安全性信息报告表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生效日期：</w:t>
          </w: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(00)-004-F01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0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  <w:rPr>
        <w:rFonts w:eastAsia="宋体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974C5"/>
    <w:rsid w:val="004C6DE8"/>
    <w:rsid w:val="00574C57"/>
    <w:rsid w:val="00C44484"/>
    <w:rsid w:val="00D65AA4"/>
    <w:rsid w:val="086D4094"/>
    <w:rsid w:val="0A347712"/>
    <w:rsid w:val="0DBB1B2D"/>
    <w:rsid w:val="0DD94CEE"/>
    <w:rsid w:val="0ED4550C"/>
    <w:rsid w:val="0FBE4C9A"/>
    <w:rsid w:val="136274B4"/>
    <w:rsid w:val="13691083"/>
    <w:rsid w:val="197E28FB"/>
    <w:rsid w:val="1BDB1A8E"/>
    <w:rsid w:val="1CD16968"/>
    <w:rsid w:val="1DEC18D7"/>
    <w:rsid w:val="21F84DAF"/>
    <w:rsid w:val="22270A6D"/>
    <w:rsid w:val="24F17599"/>
    <w:rsid w:val="2699251D"/>
    <w:rsid w:val="28F34A4F"/>
    <w:rsid w:val="29986B0A"/>
    <w:rsid w:val="2B345A65"/>
    <w:rsid w:val="2D9D43EA"/>
    <w:rsid w:val="2E1974C5"/>
    <w:rsid w:val="2EA6194A"/>
    <w:rsid w:val="304E04AA"/>
    <w:rsid w:val="322328A3"/>
    <w:rsid w:val="32ED5D83"/>
    <w:rsid w:val="335A13FE"/>
    <w:rsid w:val="37E84F8A"/>
    <w:rsid w:val="385C4801"/>
    <w:rsid w:val="38C8441E"/>
    <w:rsid w:val="3E5A10A3"/>
    <w:rsid w:val="3EBB215B"/>
    <w:rsid w:val="44346527"/>
    <w:rsid w:val="44CB26A4"/>
    <w:rsid w:val="46D56C91"/>
    <w:rsid w:val="480A4801"/>
    <w:rsid w:val="489532C4"/>
    <w:rsid w:val="48D67CE5"/>
    <w:rsid w:val="48E25F92"/>
    <w:rsid w:val="4B447AC4"/>
    <w:rsid w:val="4C226397"/>
    <w:rsid w:val="4EFF15D6"/>
    <w:rsid w:val="50BE58CC"/>
    <w:rsid w:val="539C1700"/>
    <w:rsid w:val="547C6287"/>
    <w:rsid w:val="56E032B5"/>
    <w:rsid w:val="582259A6"/>
    <w:rsid w:val="5AA50B09"/>
    <w:rsid w:val="5AAC0181"/>
    <w:rsid w:val="5BFF6634"/>
    <w:rsid w:val="5C2213AA"/>
    <w:rsid w:val="5CCB34DF"/>
    <w:rsid w:val="5ED276D9"/>
    <w:rsid w:val="5FEE7CB4"/>
    <w:rsid w:val="615B0798"/>
    <w:rsid w:val="65AD2437"/>
    <w:rsid w:val="6881358E"/>
    <w:rsid w:val="699931F0"/>
    <w:rsid w:val="6E2B2B4C"/>
    <w:rsid w:val="6E2E4065"/>
    <w:rsid w:val="6F595E1D"/>
    <w:rsid w:val="6FA36264"/>
    <w:rsid w:val="70F85E90"/>
    <w:rsid w:val="71DC5FD6"/>
    <w:rsid w:val="76F44913"/>
    <w:rsid w:val="78D44D1F"/>
    <w:rsid w:val="790F691B"/>
    <w:rsid w:val="7F2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208</Words>
  <Characters>1191</Characters>
  <Lines>9</Lines>
  <Paragraphs>2</Paragraphs>
  <TotalTime>5</TotalTime>
  <ScaleCrop>false</ScaleCrop>
  <LinksUpToDate>false</LinksUpToDate>
  <CharactersWithSpaces>1397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2016-09-13T06:31:00Z</dcterms:created>
  <dc:creator>dell</dc:creator>
  <cp:lastModifiedBy>admin</cp:lastModifiedBy>
  <cp:lastPrinted>2016-09-13T06:39:00Z</cp:lastPrinted>
  <dcterms:modified xsi:type="dcterms:W3CDTF">2020-12-15T10:37:35Z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